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7B" w:rsidRPr="00EF7A4D" w:rsidRDefault="009D757B" w:rsidP="009D757B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spacing w:val="24"/>
          <w:kern w:val="1"/>
          <w:sz w:val="28"/>
          <w:szCs w:val="28"/>
        </w:rPr>
      </w:pPr>
      <w:r w:rsidRPr="00EF7A4D">
        <w:rPr>
          <w:rFonts w:ascii="Arial" w:eastAsia="Arial Unicode MS" w:hAnsi="Arial" w:cs="Times New Roman"/>
          <w:b/>
          <w:spacing w:val="24"/>
          <w:kern w:val="1"/>
          <w:sz w:val="28"/>
          <w:szCs w:val="28"/>
        </w:rPr>
        <w:t>ЮРЬЕВСКАЯ СЕЛЬСКАЯ ДУМА</w:t>
      </w:r>
    </w:p>
    <w:p w:rsidR="009D757B" w:rsidRPr="00EF7A4D" w:rsidRDefault="009D757B" w:rsidP="009D757B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spacing w:val="24"/>
          <w:kern w:val="1"/>
          <w:sz w:val="28"/>
          <w:szCs w:val="28"/>
        </w:rPr>
      </w:pPr>
      <w:r w:rsidRPr="00EF7A4D">
        <w:rPr>
          <w:rFonts w:ascii="Arial" w:eastAsia="Arial Unicode MS" w:hAnsi="Arial" w:cs="Times New Roman"/>
          <w:b/>
          <w:spacing w:val="24"/>
          <w:kern w:val="1"/>
          <w:sz w:val="28"/>
          <w:szCs w:val="28"/>
        </w:rPr>
        <w:t>КОТЕЛЬНИЧСКОГО РАЙОНА  КИРОВСКОЙ ОБЛАСТИ</w:t>
      </w:r>
    </w:p>
    <w:p w:rsidR="009D757B" w:rsidRPr="00EF7A4D" w:rsidRDefault="009D757B" w:rsidP="009D757B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8"/>
          <w:szCs w:val="28"/>
        </w:rPr>
      </w:pPr>
      <w:r>
        <w:rPr>
          <w:rFonts w:ascii="Arial" w:eastAsia="Arial Unicode MS" w:hAnsi="Arial" w:cs="Times New Roman"/>
          <w:kern w:val="1"/>
          <w:sz w:val="28"/>
          <w:szCs w:val="28"/>
        </w:rPr>
        <w:t xml:space="preserve">пятого </w:t>
      </w:r>
      <w:r w:rsidRPr="00EF7A4D">
        <w:rPr>
          <w:rFonts w:ascii="Arial" w:eastAsia="Arial Unicode MS" w:hAnsi="Arial" w:cs="Times New Roman"/>
          <w:kern w:val="1"/>
          <w:sz w:val="28"/>
          <w:szCs w:val="28"/>
        </w:rPr>
        <w:t>созыва</w:t>
      </w:r>
    </w:p>
    <w:p w:rsidR="009D757B" w:rsidRPr="00EF7A4D" w:rsidRDefault="009D757B" w:rsidP="009D757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D757B" w:rsidRPr="00EF7A4D" w:rsidRDefault="009D757B" w:rsidP="009D757B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spacing w:val="80"/>
          <w:kern w:val="1"/>
          <w:sz w:val="28"/>
          <w:szCs w:val="28"/>
        </w:rPr>
      </w:pPr>
      <w:r w:rsidRPr="00EF7A4D">
        <w:rPr>
          <w:rFonts w:ascii="Arial" w:eastAsia="Arial Unicode MS" w:hAnsi="Arial" w:cs="Times New Roman"/>
          <w:b/>
          <w:spacing w:val="80"/>
          <w:kern w:val="1"/>
          <w:sz w:val="28"/>
          <w:szCs w:val="28"/>
        </w:rPr>
        <w:t>РЕШЕНИЕ</w:t>
      </w: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9D757B" w:rsidRPr="00EF7A4D" w:rsidTr="007A1832">
        <w:tc>
          <w:tcPr>
            <w:tcW w:w="1710" w:type="dxa"/>
            <w:tcBorders>
              <w:bottom w:val="single" w:sz="2" w:space="0" w:color="000000"/>
            </w:tcBorders>
          </w:tcPr>
          <w:p w:rsidR="009D757B" w:rsidRPr="00EF7A4D" w:rsidRDefault="00675B3E" w:rsidP="007A1832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25.11.2022</w:t>
            </w:r>
          </w:p>
        </w:tc>
        <w:tc>
          <w:tcPr>
            <w:tcW w:w="6060" w:type="dxa"/>
          </w:tcPr>
          <w:p w:rsidR="009D757B" w:rsidRPr="00EF7A4D" w:rsidRDefault="009D757B" w:rsidP="007A1832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F7A4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9D757B" w:rsidRPr="00EF7A4D" w:rsidRDefault="00235D85" w:rsidP="007A1832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</w:t>
            </w:r>
            <w:bookmarkStart w:id="0" w:name="_GoBack"/>
            <w:bookmarkEnd w:id="0"/>
          </w:p>
        </w:tc>
      </w:tr>
      <w:tr w:rsidR="009D757B" w:rsidRPr="00EF7A4D" w:rsidTr="007A1832">
        <w:tc>
          <w:tcPr>
            <w:tcW w:w="1710" w:type="dxa"/>
          </w:tcPr>
          <w:p w:rsidR="009D757B" w:rsidRPr="00EF7A4D" w:rsidRDefault="009D757B" w:rsidP="007A1832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</w:tcPr>
          <w:p w:rsidR="009D757B" w:rsidRPr="00EF7A4D" w:rsidRDefault="009D757B" w:rsidP="007A1832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9D757B" w:rsidRPr="00EF7A4D" w:rsidRDefault="009D757B" w:rsidP="007A1832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EF7A4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с. Юрьево</w:t>
            </w:r>
          </w:p>
        </w:tc>
        <w:tc>
          <w:tcPr>
            <w:tcW w:w="1697" w:type="dxa"/>
          </w:tcPr>
          <w:p w:rsidR="009D757B" w:rsidRPr="00EF7A4D" w:rsidRDefault="009D757B" w:rsidP="007A1832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D757B" w:rsidRPr="00EF7A4D" w:rsidRDefault="009D757B" w:rsidP="009D757B">
      <w:pPr>
        <w:widowControl w:val="0"/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</w:p>
    <w:p w:rsidR="009D757B" w:rsidRPr="007E611B" w:rsidRDefault="009D757B" w:rsidP="009D757B">
      <w:pPr>
        <w:widowControl w:val="0"/>
        <w:suppressAutoHyphens/>
        <w:snapToGrid w:val="0"/>
        <w:spacing w:after="0" w:line="240" w:lineRule="auto"/>
        <w:ind w:left="-75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7E611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Об утверждении Положения о земельном налоге в муниципальном образовании Юрьевское сельское поселение Котельничского района Кировской области</w:t>
      </w:r>
    </w:p>
    <w:p w:rsidR="009D757B" w:rsidRPr="00752F1F" w:rsidRDefault="009D757B" w:rsidP="009D7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57B" w:rsidRPr="00C4430C" w:rsidRDefault="009D757B" w:rsidP="009D757B">
      <w:pPr>
        <w:widowControl w:val="0"/>
        <w:suppressAutoHyphens/>
        <w:snapToGrid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C4430C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со статьей 24 Устава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Юрьевского сельского поселения, </w:t>
      </w:r>
      <w:r w:rsidRPr="00C4430C">
        <w:rPr>
          <w:rFonts w:ascii="Times New Roman" w:eastAsia="Arial Unicode MS" w:hAnsi="Times New Roman" w:cs="Times New Roman"/>
          <w:kern w:val="2"/>
          <w:sz w:val="28"/>
          <w:szCs w:val="28"/>
        </w:rPr>
        <w:t>Юрьевская сельская Дума РЕШИЛА:</w:t>
      </w:r>
    </w:p>
    <w:p w:rsidR="009D757B" w:rsidRPr="00C4430C" w:rsidRDefault="009D757B" w:rsidP="009D757B">
      <w:pPr>
        <w:widowControl w:val="0"/>
        <w:numPr>
          <w:ilvl w:val="0"/>
          <w:numId w:val="1"/>
        </w:numPr>
        <w:suppressAutoHyphens/>
        <w:snapToGrid w:val="0"/>
        <w:spacing w:after="0" w:line="360" w:lineRule="auto"/>
        <w:ind w:left="0" w:firstLine="567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C4430C">
        <w:rPr>
          <w:rFonts w:ascii="Times New Roman" w:eastAsia="Arial Unicode MS" w:hAnsi="Times New Roman" w:cs="Times New Roman"/>
          <w:kern w:val="2"/>
          <w:sz w:val="28"/>
          <w:szCs w:val="28"/>
        </w:rPr>
        <w:t>Утвердить на территории Юрьевского сельского поселения «Положение о земельном налоге в муниципальном образовании Юрьевское сельское поселение Котельничского района Кировской области». Прилагается.</w:t>
      </w:r>
    </w:p>
    <w:p w:rsidR="009D757B" w:rsidRPr="00C4430C" w:rsidRDefault="009D757B" w:rsidP="009D757B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C4430C">
        <w:rPr>
          <w:rFonts w:ascii="Times New Roman" w:eastAsia="Calibri" w:hAnsi="Times New Roman" w:cs="Times New Roman"/>
          <w:sz w:val="28"/>
          <w:szCs w:val="28"/>
        </w:rPr>
        <w:t>Признать утратившими силу:</w:t>
      </w:r>
    </w:p>
    <w:p w:rsidR="009D757B" w:rsidRPr="00C4430C" w:rsidRDefault="009D757B" w:rsidP="009D757B">
      <w:pPr>
        <w:widowControl w:val="0"/>
        <w:numPr>
          <w:ilvl w:val="1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C4430C">
        <w:rPr>
          <w:rFonts w:ascii="Times New Roman" w:eastAsia="Calibri" w:hAnsi="Times New Roman" w:cs="Times New Roman"/>
          <w:sz w:val="28"/>
          <w:szCs w:val="28"/>
        </w:rPr>
        <w:t>решение Юрьевской сельской Думы</w:t>
      </w:r>
      <w:r w:rsidRPr="00C4430C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от </w:t>
      </w:r>
      <w:r w:rsidR="00B214D5">
        <w:rPr>
          <w:rFonts w:ascii="Times New Roman" w:eastAsia="Arial Unicode MS" w:hAnsi="Times New Roman" w:cs="Times New Roman"/>
          <w:kern w:val="2"/>
          <w:sz w:val="28"/>
          <w:szCs w:val="28"/>
        </w:rPr>
        <w:t>07.06.2021 г. №225</w:t>
      </w:r>
      <w:r w:rsidRPr="00C4430C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«Положение о земельном налоге в муниципальном образовании Юрьевское сельское поселение Котельничского района Кировской области».</w:t>
      </w:r>
    </w:p>
    <w:p w:rsidR="009D757B" w:rsidRPr="00C4430C" w:rsidRDefault="009D757B" w:rsidP="009D757B">
      <w:pPr>
        <w:numPr>
          <w:ilvl w:val="0"/>
          <w:numId w:val="1"/>
        </w:numPr>
        <w:spacing w:after="0" w:line="36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Информационном бюллетене органов местного самоуправления муниципального образования Юрьевское сельское поселение Котельничского района Кировской области и на официальном сайте органов местного самоуправления Котельничского района Кировской области </w:t>
      </w:r>
      <w:hyperlink r:id="rId6" w:history="1">
        <w:r w:rsidRPr="00C443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www.kotelnich-msu.ru</w:t>
        </w:r>
      </w:hyperlink>
      <w:r w:rsidRPr="00C443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57B" w:rsidRPr="00C4430C" w:rsidRDefault="009D757B" w:rsidP="009D7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57B" w:rsidRPr="00C4430C" w:rsidRDefault="009D757B" w:rsidP="009D757B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443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Председатель </w:t>
      </w:r>
    </w:p>
    <w:p w:rsidR="009D757B" w:rsidRPr="00C4430C" w:rsidRDefault="009D757B" w:rsidP="009D757B">
      <w:pPr>
        <w:tabs>
          <w:tab w:val="left" w:pos="426"/>
          <w:tab w:val="left" w:pos="730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3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ьевской сельской Думы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З.М. Косых</w:t>
      </w:r>
    </w:p>
    <w:p w:rsidR="008E420D" w:rsidRDefault="008E420D" w:rsidP="009D757B">
      <w:pPr>
        <w:tabs>
          <w:tab w:val="left" w:pos="6510"/>
        </w:tabs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D757B" w:rsidRPr="00C4430C" w:rsidRDefault="009D757B" w:rsidP="009D757B">
      <w:pPr>
        <w:tabs>
          <w:tab w:val="left" w:pos="6510"/>
        </w:tabs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443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Глава</w:t>
      </w:r>
      <w:r w:rsidRPr="00C443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9D757B" w:rsidRPr="00C4430C" w:rsidRDefault="009D757B" w:rsidP="009D757B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443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Юрьевского сельского поселения                                           А.Н. Береснев</w:t>
      </w:r>
    </w:p>
    <w:p w:rsidR="009D757B" w:rsidRPr="00C4430C" w:rsidRDefault="009D757B" w:rsidP="009D757B">
      <w:pPr>
        <w:pBdr>
          <w:bottom w:val="single" w:sz="12" w:space="1" w:color="auto"/>
        </w:pBdr>
        <w:tabs>
          <w:tab w:val="left" w:pos="2970"/>
        </w:tabs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 </w:t>
      </w:r>
      <w:r w:rsidR="00675B3E"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»</w:t>
      </w:r>
      <w:r w:rsidR="00675B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ноября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 г</w:t>
      </w:r>
    </w:p>
    <w:p w:rsidR="009D757B" w:rsidRPr="00C4430C" w:rsidRDefault="009D757B" w:rsidP="009D757B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30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Правовая и антикоррупционная экспертиза проведена:</w:t>
      </w:r>
    </w:p>
    <w:p w:rsidR="009D757B" w:rsidRPr="00C4430C" w:rsidRDefault="009D757B" w:rsidP="009D757B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430C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9D757B" w:rsidRPr="00C4430C" w:rsidRDefault="009D757B" w:rsidP="009D757B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757B" w:rsidRPr="00C4430C" w:rsidRDefault="009D757B" w:rsidP="009D757B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443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</w:t>
      </w:r>
    </w:p>
    <w:p w:rsidR="009D757B" w:rsidRPr="00C4430C" w:rsidRDefault="009D757B" w:rsidP="009D757B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443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Юрьевского сельского поселения                                              А.Н. Береснев</w:t>
      </w:r>
    </w:p>
    <w:p w:rsidR="009D757B" w:rsidRPr="00C4430C" w:rsidRDefault="009D757B" w:rsidP="009D757B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2"/>
          <w:sz w:val="26"/>
          <w:szCs w:val="26"/>
        </w:rPr>
      </w:pPr>
    </w:p>
    <w:p w:rsidR="009D757B" w:rsidRPr="00C4430C" w:rsidRDefault="009D757B" w:rsidP="009D7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6C6" w:rsidRDefault="00235D85"/>
    <w:p w:rsidR="009D757B" w:rsidRDefault="009D757B"/>
    <w:p w:rsidR="009D757B" w:rsidRDefault="009D757B"/>
    <w:p w:rsidR="009D757B" w:rsidRDefault="009D757B"/>
    <w:p w:rsidR="009D757B" w:rsidRDefault="009D757B"/>
    <w:p w:rsidR="009D757B" w:rsidRDefault="009D757B"/>
    <w:p w:rsidR="009D757B" w:rsidRDefault="009D757B"/>
    <w:p w:rsidR="009D757B" w:rsidRDefault="009D757B"/>
    <w:p w:rsidR="009D757B" w:rsidRDefault="009D757B"/>
    <w:p w:rsidR="009D757B" w:rsidRDefault="009D757B"/>
    <w:p w:rsidR="009D757B" w:rsidRDefault="009D757B"/>
    <w:p w:rsidR="009D757B" w:rsidRDefault="009D757B"/>
    <w:p w:rsidR="009D757B" w:rsidRDefault="009D757B"/>
    <w:p w:rsidR="009D757B" w:rsidRDefault="009D757B"/>
    <w:p w:rsidR="009D757B" w:rsidRDefault="009D757B"/>
    <w:p w:rsidR="009D757B" w:rsidRDefault="009D757B"/>
    <w:p w:rsidR="009D757B" w:rsidRDefault="009D757B"/>
    <w:p w:rsidR="009D757B" w:rsidRDefault="009D757B"/>
    <w:p w:rsidR="009D757B" w:rsidRDefault="009D757B"/>
    <w:p w:rsidR="009D757B" w:rsidRDefault="009D757B"/>
    <w:p w:rsidR="009D757B" w:rsidRDefault="009D757B"/>
    <w:p w:rsidR="009D757B" w:rsidRDefault="009D757B"/>
    <w:p w:rsidR="00B214D5" w:rsidRPr="00752F1F" w:rsidRDefault="00B214D5" w:rsidP="00B214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B214D5" w:rsidRPr="00752F1F" w:rsidRDefault="00B214D5" w:rsidP="00B214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 Юрьевской</w:t>
      </w:r>
      <w:r w:rsidRPr="0075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сельской Думы</w:t>
      </w:r>
    </w:p>
    <w:p w:rsidR="00B214D5" w:rsidRPr="00752F1F" w:rsidRDefault="00B214D5" w:rsidP="00B214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Котельничского района</w:t>
      </w:r>
    </w:p>
    <w:p w:rsidR="00B214D5" w:rsidRPr="00752F1F" w:rsidRDefault="00675B3E" w:rsidP="00B214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214D5" w:rsidRPr="0075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25.11.2022</w:t>
      </w:r>
      <w:r w:rsidR="00B214D5" w:rsidRPr="0075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</w:p>
    <w:p w:rsidR="00B214D5" w:rsidRPr="00752F1F" w:rsidRDefault="00B214D5" w:rsidP="00B214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14D5" w:rsidRPr="00752F1F" w:rsidRDefault="00B214D5" w:rsidP="00B214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214D5" w:rsidRPr="00752F1F" w:rsidRDefault="00B214D5" w:rsidP="00B214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 земельном налоге на территории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Юрьевского</w:t>
      </w:r>
      <w:r w:rsidRPr="00752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сельского поселения Котельничского района Кировской области</w:t>
      </w:r>
    </w:p>
    <w:p w:rsidR="00B214D5" w:rsidRPr="00752F1F" w:rsidRDefault="00B214D5" w:rsidP="00B214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14D5" w:rsidRPr="00752F1F" w:rsidRDefault="00B214D5" w:rsidP="00B214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 положения</w:t>
      </w:r>
    </w:p>
    <w:p w:rsidR="009D757B" w:rsidRDefault="00B214D5" w:rsidP="008E42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4D5">
        <w:rPr>
          <w:rFonts w:ascii="Times New Roman" w:hAnsi="Times New Roman" w:cs="Times New Roman"/>
          <w:sz w:val="28"/>
          <w:szCs w:val="28"/>
        </w:rPr>
        <w:t>1.1</w:t>
      </w:r>
      <w:r w:rsidR="00EC3956">
        <w:rPr>
          <w:rFonts w:ascii="Times New Roman" w:hAnsi="Times New Roman" w:cs="Times New Roman"/>
          <w:sz w:val="28"/>
          <w:szCs w:val="28"/>
        </w:rPr>
        <w:t>.</w:t>
      </w:r>
      <w:r w:rsidRPr="00B21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Земельный налог (далее налог) устанавливается и вводится в действие главой 31 Налогового кодекса Российской Федерации и решением Юрьевской сельской Думы и обязателен к уплате на территории </w:t>
      </w:r>
      <w:r w:rsidR="00EC3956">
        <w:rPr>
          <w:rFonts w:ascii="Times New Roman" w:hAnsi="Times New Roman" w:cs="Times New Roman"/>
          <w:sz w:val="28"/>
          <w:szCs w:val="28"/>
        </w:rPr>
        <w:t>муниципального образования Юрьевское сельское поселение Котельничского района Кировской области</w:t>
      </w:r>
    </w:p>
    <w:p w:rsidR="00EC3956" w:rsidRDefault="00EC3956" w:rsidP="008E42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Настоящим Положением в соответствии 31 Налогового кодекса Российской Федерации на территории муниципального образования Юрьевское сельское поселение Котельничского района Кировской области устанавливаются налоговые ставки земельного налога, налоговые льготы, а также основания и порядок применения налоговых льгот, порядок и сроки предоставления налогоплательщиками документов, подтверждающих право на уменьшение налоговой базы и на налоговые льготы.</w:t>
      </w:r>
      <w:proofErr w:type="gramEnd"/>
    </w:p>
    <w:p w:rsidR="00EC3956" w:rsidRDefault="00EC3956" w:rsidP="008E420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отношении налогоплательщиков – организаций определяется порядок и срок уплаты налога и авансовых платежей по налогу.</w:t>
      </w:r>
    </w:p>
    <w:p w:rsidR="00EC3956" w:rsidRDefault="00EC3956" w:rsidP="008E42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Налогоплательщики</w:t>
      </w:r>
    </w:p>
    <w:p w:rsidR="00EC3956" w:rsidRDefault="00EC3956" w:rsidP="008E420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956">
        <w:rPr>
          <w:rFonts w:ascii="Times New Roman" w:hAnsi="Times New Roman" w:cs="Times New Roman"/>
          <w:sz w:val="28"/>
          <w:szCs w:val="28"/>
        </w:rPr>
        <w:t xml:space="preserve">2.1 </w:t>
      </w:r>
      <w:r>
        <w:rPr>
          <w:rFonts w:ascii="Times New Roman" w:hAnsi="Times New Roman" w:cs="Times New Roman"/>
          <w:sz w:val="28"/>
          <w:szCs w:val="28"/>
        </w:rPr>
        <w:t>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РФ, на праве собственности, праве постоянного (бессрочного) пользования и или праве пожизненного наследуемого, владения, если иное не установлено настоящим пунктом.</w:t>
      </w:r>
    </w:p>
    <w:p w:rsidR="00EC3956" w:rsidRDefault="00EC3956" w:rsidP="008E420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Не признаются налогоплательщиками организации и физические лица</w:t>
      </w:r>
      <w:r w:rsidR="00704407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передаваемых им по договору аренды.</w:t>
      </w:r>
    </w:p>
    <w:p w:rsidR="00704407" w:rsidRDefault="00704407" w:rsidP="008E42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Налоговые ставки</w:t>
      </w:r>
    </w:p>
    <w:p w:rsidR="00704407" w:rsidRDefault="00704407" w:rsidP="008E420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ставки устанавливаются в следующих размерах:</w:t>
      </w:r>
    </w:p>
    <w:p w:rsidR="00704407" w:rsidRDefault="00704407" w:rsidP="008E420D">
      <w:pPr>
        <w:widowControl w:val="0"/>
        <w:suppressAutoHyphens/>
        <w:spacing w:after="0" w:line="240" w:lineRule="auto"/>
        <w:ind w:left="993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70440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EF7A4D">
        <w:rPr>
          <w:rFonts w:ascii="Times New Roman" w:eastAsia="Arial Unicode MS" w:hAnsi="Times New Roman" w:cs="Times New Roman"/>
          <w:kern w:val="1"/>
          <w:sz w:val="28"/>
          <w:szCs w:val="28"/>
        </w:rPr>
        <w:t>0,3 процента в отношении земельных участков:</w:t>
      </w:r>
    </w:p>
    <w:p w:rsidR="00704407" w:rsidRDefault="00704407" w:rsidP="008E420D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3.1.1.</w:t>
      </w:r>
      <w:r w:rsidRPr="00EF7A4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отнесенных к землям сельскохозяйственного назначения или к землям в составе зон сельскохозяйственного использования в населенных </w:t>
      </w:r>
      <w:r w:rsidRPr="00EF7A4D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пунктах и используемых для сельскохозяйственного производства;</w:t>
      </w:r>
    </w:p>
    <w:p w:rsidR="00704407" w:rsidRDefault="00704407" w:rsidP="008E420D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3.1.2. </w:t>
      </w:r>
      <w:r w:rsidRPr="00AF0A59">
        <w:rPr>
          <w:rFonts w:ascii="Times New Roman" w:eastAsia="Arial Unicode MS" w:hAnsi="Times New Roman" w:cs="Times New Roman"/>
          <w:kern w:val="1"/>
          <w:sz w:val="28"/>
          <w:szCs w:val="28"/>
        </w:rPr>
        <w:t>занятых  жилищным фондом  и  объектами инженерной инфраструктуры 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 в предпринимательской деятельности);</w:t>
      </w:r>
      <w:proofErr w:type="gramEnd"/>
    </w:p>
    <w:p w:rsidR="00704407" w:rsidRDefault="00704407" w:rsidP="008E420D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3.1.3. </w:t>
      </w:r>
      <w:r w:rsidRPr="00AF0A59">
        <w:rPr>
          <w:rFonts w:ascii="Times New Roman" w:eastAsia="Arial Unicode MS" w:hAnsi="Times New Roman" w:cs="Times New Roman"/>
          <w:kern w:val="1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 29 июля 2017 года N 217-ФЗ «</w:t>
      </w:r>
      <w:r w:rsidRPr="00AF0A59">
        <w:rPr>
          <w:rFonts w:ascii="Times New Roman" w:eastAsia="Arial Unicode MS" w:hAnsi="Times New Roman" w:cs="Times New Roman"/>
          <w:kern w:val="1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»;</w:t>
      </w:r>
      <w:proofErr w:type="gramEnd"/>
    </w:p>
    <w:p w:rsidR="00704407" w:rsidRPr="00EF7A4D" w:rsidRDefault="00704407" w:rsidP="008E420D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3.1.4.</w:t>
      </w:r>
      <w:r w:rsidRPr="00EF7A4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ограниченных в обороте в соответствии с законодательством Р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оссийской </w:t>
      </w:r>
      <w:r w:rsidRPr="00EF7A4D">
        <w:rPr>
          <w:rFonts w:ascii="Times New Roman" w:eastAsia="Arial Unicode MS" w:hAnsi="Times New Roman" w:cs="Times New Roman"/>
          <w:kern w:val="1"/>
          <w:sz w:val="28"/>
          <w:szCs w:val="28"/>
        </w:rPr>
        <w:t>Ф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едерации</w:t>
      </w:r>
      <w:r w:rsidRPr="00EF7A4D">
        <w:rPr>
          <w:rFonts w:ascii="Times New Roman" w:eastAsia="Arial Unicode MS" w:hAnsi="Times New Roman" w:cs="Times New Roman"/>
          <w:kern w:val="1"/>
          <w:sz w:val="28"/>
          <w:szCs w:val="28"/>
        </w:rPr>
        <w:t>, предоставленных для обеспечения обороны</w:t>
      </w:r>
      <w:r w:rsidRPr="00327F3E">
        <w:rPr>
          <w:rFonts w:ascii="Times New Roman" w:eastAsia="Arial Unicode MS" w:hAnsi="Times New Roman" w:cs="Times New Roman"/>
          <w:kern w:val="1"/>
          <w:sz w:val="28"/>
          <w:szCs w:val="28"/>
        </w:rPr>
        <w:t>, безопасности</w:t>
      </w:r>
      <w:r w:rsidRPr="00EF7A4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 таможенных нужд</w:t>
      </w:r>
      <w:r w:rsidRPr="00327F3E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704407" w:rsidRDefault="00704407" w:rsidP="008E420D">
      <w:pPr>
        <w:spacing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3.2. </w:t>
      </w:r>
      <w:r w:rsidRPr="00EF7A4D">
        <w:rPr>
          <w:rFonts w:ascii="Times New Roman" w:eastAsia="Arial Unicode MS" w:hAnsi="Times New Roman" w:cs="Times New Roman"/>
          <w:kern w:val="1"/>
          <w:sz w:val="28"/>
          <w:szCs w:val="28"/>
        </w:rPr>
        <w:t>1,5 процента в отношении прочих земельных участков</w:t>
      </w:r>
      <w:r w:rsidR="00A264AE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A264AE" w:rsidRDefault="00A264AE" w:rsidP="008E420D">
      <w:pPr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4. Налоговый период. Отчетный период</w:t>
      </w:r>
    </w:p>
    <w:p w:rsidR="00A264AE" w:rsidRDefault="00A264AE" w:rsidP="008E420D">
      <w:pPr>
        <w:spacing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4.1. Налоговым периодом признается календарный год.</w:t>
      </w:r>
    </w:p>
    <w:p w:rsidR="00A264AE" w:rsidRDefault="00A264AE" w:rsidP="008E420D">
      <w:pPr>
        <w:spacing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4.2. Отчётными периодами для налогоплательщиков-организаций признаются первый квартал, второй квартал и третий квартал календарного года, если иное не установлено подпунктом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  <w:proofErr w:type="gram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>.3 настоящего Положения.</w:t>
      </w:r>
    </w:p>
    <w:p w:rsidR="00A264AE" w:rsidRDefault="00A264AE" w:rsidP="008E420D">
      <w:pPr>
        <w:spacing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4.3. Для налогоплательщиков-организаций, начисливших сумму налога за прошедший налоговый период менее 5 тыс. рублей, отчётным периодом признается налоговый период.</w:t>
      </w:r>
    </w:p>
    <w:p w:rsidR="00A264AE" w:rsidRDefault="00A264AE" w:rsidP="008E420D">
      <w:pPr>
        <w:tabs>
          <w:tab w:val="left" w:pos="3448"/>
        </w:tabs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A264A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5. Порядок и сроки уплаты земельно</w:t>
      </w:r>
      <w:r w:rsidR="00C600C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го налога и авансовых  платежей по налогу в отношении налогоплательщиков-организаций</w:t>
      </w:r>
    </w:p>
    <w:p w:rsidR="00C600CB" w:rsidRDefault="00C600CB" w:rsidP="008E420D">
      <w:pPr>
        <w:tabs>
          <w:tab w:val="left" w:pos="3448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5.1. Установить в отношении налогоплательщиков - организаций порядок и срок уплаты налога и налоговых платежей по налогу:</w:t>
      </w:r>
    </w:p>
    <w:p w:rsidR="00C600CB" w:rsidRDefault="00C600CB" w:rsidP="008E420D">
      <w:pPr>
        <w:tabs>
          <w:tab w:val="left" w:pos="3448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Налогоплательщики – организации, в течени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и</w:t>
      </w:r>
      <w:proofErr w:type="gramEnd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налогового периода уплачивают авансовые платежи по налогу по итогам каждого отчётного периода – не позднее 30 апреля, 31 июля, 31 октября текущего года. По истечении налогового периода налогоплательщики – организации уплачивают сумму налога, определенную как разницу между суммой налога и суммами подлежащих уплате в течение налогового периода авансовых платежей по налогу.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Налог, подлежащий уплате по итогам налогового периода, уплачивается не позднее срока, установленного статьей 398 НК РФ для подачи налоговых деклараций за </w:t>
      </w:r>
      <w:r w:rsidR="004E2144">
        <w:rPr>
          <w:rFonts w:ascii="Times New Roman" w:eastAsia="Arial Unicode MS" w:hAnsi="Times New Roman" w:cs="Times New Roman"/>
          <w:kern w:val="1"/>
          <w:sz w:val="28"/>
          <w:szCs w:val="28"/>
        </w:rPr>
        <w:t>соответствующий налоговый период-не позднее 1 февраля года, следующего за истекшим налоговым периодом.</w:t>
      </w:r>
      <w:proofErr w:type="gramEnd"/>
    </w:p>
    <w:p w:rsidR="004E2144" w:rsidRDefault="004E2144" w:rsidP="008E420D">
      <w:pPr>
        <w:tabs>
          <w:tab w:val="left" w:pos="3448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5.2. Налог и авансовые платежи по налогу уплачиваются налогоплательщиками – организациями в бюджет по месту нахождения земельных участков, признаваемых объектом налогообложения.</w:t>
      </w:r>
    </w:p>
    <w:p w:rsidR="004E2144" w:rsidRDefault="004E2144" w:rsidP="008E420D">
      <w:pPr>
        <w:tabs>
          <w:tab w:val="left" w:pos="3448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5.3. Налог и авансовые платежи по налогу, подлежащие уплате за истёкший налоговый (отчётный) период, подлежат уплате налогоплательщиками – организациями в срок, установленные пунктом 1 статьи 397 Налогового кодекса Российской Федерации.</w:t>
      </w:r>
    </w:p>
    <w:p w:rsidR="004E2144" w:rsidRDefault="00B63E7F" w:rsidP="008E420D">
      <w:pPr>
        <w:tabs>
          <w:tab w:val="left" w:pos="3448"/>
        </w:tabs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6. Налоговые льготы.</w:t>
      </w:r>
    </w:p>
    <w:p w:rsidR="00B63E7F" w:rsidRDefault="00B63E7F" w:rsidP="008E420D">
      <w:pPr>
        <w:tabs>
          <w:tab w:val="left" w:pos="3448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6.1. Налоговые льготы установлены статьей 395 главы 31 Налогового кодекса Российской Федерации.</w:t>
      </w:r>
    </w:p>
    <w:p w:rsidR="00B63E7F" w:rsidRDefault="00B63E7F" w:rsidP="008E420D">
      <w:pPr>
        <w:tabs>
          <w:tab w:val="left" w:pos="3448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6.2. На основании пункта 2 статьи 387 главы 31 Налогового кодекса Российской Федерации установить следующие налоговые льготы:</w:t>
      </w:r>
    </w:p>
    <w:p w:rsidR="00B63E7F" w:rsidRDefault="00B63E7F" w:rsidP="008E420D">
      <w:pPr>
        <w:tabs>
          <w:tab w:val="left" w:pos="3448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6.2.1. Освободить от уплаты земельного налога муниципальные казенные, бюджетные и автономные учреждения и организации, а также органы представительной и исполнительной власти Кировской области.</w:t>
      </w:r>
    </w:p>
    <w:p w:rsidR="00B63E7F" w:rsidRDefault="00B63E7F" w:rsidP="008E420D">
      <w:pPr>
        <w:tabs>
          <w:tab w:val="left" w:pos="3448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6.2.2.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От уплаты земельного налога освобождаются инвалиды Великой Отечественной войны, участники Великой Отечественной Войны, обладающие земельными участками на праве собственности пожизненно наследуемого владения, бессрочного (постоянного) пользования.</w:t>
      </w:r>
      <w:proofErr w:type="gramEnd"/>
    </w:p>
    <w:p w:rsidR="006B7126" w:rsidRPr="006B7126" w:rsidRDefault="00B63E7F" w:rsidP="008E420D">
      <w:pPr>
        <w:tabs>
          <w:tab w:val="left" w:pos="3448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6.2.3. Сумма налога, исчисленная по налоговой ставке, установленной </w:t>
      </w:r>
      <w:r w:rsidR="00A77BEF">
        <w:rPr>
          <w:rFonts w:ascii="Times New Roman" w:eastAsia="Arial Unicode MS" w:hAnsi="Times New Roman" w:cs="Times New Roman"/>
          <w:kern w:val="1"/>
          <w:sz w:val="28"/>
          <w:szCs w:val="28"/>
        </w:rPr>
        <w:t>пунктом</w:t>
      </w:r>
      <w:r w:rsidR="006B71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3.2 настоящего Положения, снижается на 50 процентов для организаций, основной вид деятельности которых относится к ОКВЭД6</w:t>
      </w:r>
      <w:r w:rsidR="006B7126" w:rsidRPr="006B7126">
        <w:rPr>
          <w:rFonts w:ascii="Times New Roman" w:eastAsia="Arial Unicode MS" w:hAnsi="Times New Roman" w:cs="Times New Roman"/>
          <w:kern w:val="1"/>
          <w:sz w:val="28"/>
          <w:szCs w:val="28"/>
        </w:rPr>
        <w:t>1…</w:t>
      </w:r>
    </w:p>
    <w:p w:rsidR="00B63E7F" w:rsidRDefault="006B7126" w:rsidP="008E420D">
      <w:pPr>
        <w:tabs>
          <w:tab w:val="left" w:pos="3448"/>
        </w:tabs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B712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7.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Порядок применения налоговых льгот</w:t>
      </w:r>
    </w:p>
    <w:p w:rsidR="006B7126" w:rsidRDefault="006B7126" w:rsidP="008E420D">
      <w:pPr>
        <w:tabs>
          <w:tab w:val="left" w:pos="3448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7.1. Налогоплательщикам, имеющим право на налоговые льготы, уменьшение налоговой базы производится в отношении одного земельного участка по выбору налогоплательщика.</w:t>
      </w:r>
    </w:p>
    <w:p w:rsidR="006B7126" w:rsidRDefault="006B7126" w:rsidP="008E420D">
      <w:pPr>
        <w:tabs>
          <w:tab w:val="left" w:pos="3448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7.2.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</w:t>
      </w:r>
      <w:r w:rsidR="008E420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выбору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6B7126" w:rsidRPr="006B7126" w:rsidRDefault="006B7126" w:rsidP="008E420D">
      <w:pPr>
        <w:tabs>
          <w:tab w:val="left" w:pos="3448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7.3.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C600CB" w:rsidRPr="00C600CB" w:rsidRDefault="00C600CB" w:rsidP="008E420D">
      <w:pPr>
        <w:tabs>
          <w:tab w:val="left" w:pos="3448"/>
        </w:tabs>
        <w:spacing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sectPr w:rsidR="00C600CB" w:rsidRPr="00C600CB" w:rsidSect="009D75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532AE"/>
    <w:multiLevelType w:val="multilevel"/>
    <w:tmpl w:val="E63E7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Theme="minorHAnsi" w:cstheme="minorBidi" w:hint="default"/>
      </w:rPr>
    </w:lvl>
  </w:abstractNum>
  <w:abstractNum w:abstractNumId="1">
    <w:nsid w:val="74634EC9"/>
    <w:multiLevelType w:val="multilevel"/>
    <w:tmpl w:val="78CCA342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8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7B"/>
    <w:rsid w:val="00235D85"/>
    <w:rsid w:val="003B67C6"/>
    <w:rsid w:val="0044315D"/>
    <w:rsid w:val="004A273A"/>
    <w:rsid w:val="004E2144"/>
    <w:rsid w:val="00675B3E"/>
    <w:rsid w:val="006B7126"/>
    <w:rsid w:val="00704407"/>
    <w:rsid w:val="008E420D"/>
    <w:rsid w:val="009D757B"/>
    <w:rsid w:val="00A264AE"/>
    <w:rsid w:val="00A77BEF"/>
    <w:rsid w:val="00B214D5"/>
    <w:rsid w:val="00B63E7F"/>
    <w:rsid w:val="00C600CB"/>
    <w:rsid w:val="00CC4EF3"/>
    <w:rsid w:val="00E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elnich-m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2022-11-25T11:21:00Z</dcterms:created>
  <dcterms:modified xsi:type="dcterms:W3CDTF">2022-11-25T11:21:00Z</dcterms:modified>
</cp:coreProperties>
</file>